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3.jpg" ContentType="image/jpeg"/>
  <Override PartName="/word/media/rId40.jpg" ContentType="image/jpeg"/>
  <Override PartName="/word/media/rId52.jpg" ContentType="image/jpeg"/>
  <Override PartName="/word/media/rId49.jpg" ContentType="image/jpeg"/>
  <Override PartName="/word/media/rId129.jpg" ContentType="image/jpeg"/>
  <Override PartName="/word/media/rId24.jpg" ContentType="image/jpeg"/>
  <Override PartName="/word/media/rId43.jpg" ContentType="image/jpeg"/>
  <Override PartName="/word/media/rId139.jpg" ContentType="image/jpeg"/>
  <Override PartName="/word/media/rId136.jpg" ContentType="image/jpeg"/>
  <Override PartName="/word/media/rId126.jpg" ContentType="image/jpeg"/>
  <Override PartName="/word/media/rId55.jpg" ContentType="image/jpeg"/>
  <Override PartName="/word/media/rId46.jpg" ContentType="image/jpeg"/>
  <Override PartName="/word/media/rId3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Josh</w:t>
      </w:r>
      <w:r>
        <w:t xml:space="preserve"> </w:t>
      </w:r>
      <w:r>
        <w:t xml:space="preserve">Carrell,</w:t>
      </w:r>
      <w:r>
        <w:t xml:space="preserve"> </w:t>
      </w:r>
      <w:r>
        <w:t xml:space="preserve">Maxwell</w:t>
      </w:r>
      <w:r>
        <w:t xml:space="preserve"> </w:t>
      </w:r>
      <w:r>
        <w:t xml:space="preserve">Cook</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Style w:val="Compact"/>
      </w:pPr>
      <w:r>
        <w:t xml:space="preserve">Across the Southern Rocky Mountains, aspen occupies a wide climatic niche.</w:t>
      </w:r>
    </w:p>
    <w:p>
      <w:pPr>
        <w:numPr>
          <w:ilvl w:val="0"/>
          <w:numId w:val="1001"/>
        </w:numPr>
        <w:pStyle w:val="Compact"/>
      </w:pPr>
      <w:r>
        <w:t xml:space="preserve">Future warming will increase the area suitable for aspen</w:t>
      </w:r>
    </w:p>
    <w:bookmarkEnd w:id="21"/>
    <w:bookmarkStart w:id="23" w:name="introduction"/>
    <w:p>
      <w:pPr>
        <w:pStyle w:val="Heading1"/>
      </w:pPr>
      <w:r>
        <w:t xml:space="preserve">Introduction</w:t>
      </w:r>
    </w:p>
    <w:bookmarkStart w:id="22" w:name="paragraph-1"/>
    <w:p>
      <w:pPr>
        <w:pStyle w:val="Heading2"/>
      </w:pPr>
      <w:r>
        <w:rPr>
          <w:iCs/>
          <w:i/>
        </w:rPr>
        <w:t xml:space="preserve">Paragraph 1</w:t>
      </w:r>
    </w:p>
    <w:p>
      <w:pPr>
        <w:pStyle w:val="FirstParagraph"/>
      </w:pPr>
      <w:r>
        <w:t xml:space="preserve">Specifically our objectives are to: (1) better understand the relationships between aspen presence and climate, topographic, and edaphic factors and (2) map the area suitable for aspen under current climate conditions, and (3) project the area where aspen is most likely to contract, expand, and remain stable under future climate conditions. Relative to previous work, here we leverage a unique high resolution map of aspen coverage across the Southern Rocky Mountains to better characterize the relationship between aspen and historical climate conditions and understand how aspen’s existing distribution may influence the potential for climate-driven expansion. In addition, most previous SDMs for aspen draw upon data from the fifth phase of the Coupled Model Intercomparison Project (CMIP), here we use data from CMIP Phase six (CMIP6). CMIP6 provides more simulations, greater spatial resolution, and an improved set of emission scenarios than earlier .</w:t>
      </w:r>
    </w:p>
    <w:bookmarkEnd w:id="22"/>
    <w:bookmarkEnd w:id="23"/>
    <w:bookmarkStart w:id="34" w:name="materials-and-methods"/>
    <w:p>
      <w:pPr>
        <w:pStyle w:val="Heading1"/>
      </w:pPr>
      <w:r>
        <w:t xml:space="preserve">Materials and Methods</w:t>
      </w:r>
    </w:p>
    <w:bookmarkStart w:id="27"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region consists of rugged, mountainous topography with elevation ranging from XXXX m asl to above XXXX m asl. The SRME consists of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w:t>
      </w:r>
    </w:p>
    <w:p>
      <w:pPr>
        <w:pStyle w:val="BodyText"/>
      </w:pPr>
      <w:r>
        <w:t xml:space="preserve">The SRME is characterized by a continental climate, with hot, dry summers and cool, wet winters. At local scales, the climate is driven by elevation patterns and the prevailing westerly winds. Temperatures can vary dramatically over short distances due to the dramatic topographic relief and predictable decrease with increasing elevation</w:t>
      </w:r>
      <w:r>
        <w:t xml:space="preserve"> </w:t>
      </w:r>
      <w:r>
        <w:t xml:space="preserve">(</w:t>
      </w:r>
      <w:hyperlink w:anchor="ref-comer2001SouthernRockyMountains">
        <w:r>
          <w:rPr>
            <w:rStyle w:val="Hyperlink"/>
          </w:rPr>
          <w:t xml:space="preserve">Comer, 2001</w:t>
        </w:r>
      </w:hyperlink>
      <w:r>
        <w:t xml:space="preserve">)</w:t>
      </w:r>
      <w:r>
        <w:t xml:space="preserve">. Precipitation is generally greatest on the windward side of the Rockies, and at higher elevations, particularly in winter</w:t>
      </w:r>
      <w:r>
        <w:t xml:space="preserve"> </w:t>
      </w:r>
      <w:r>
        <w:t xml:space="preserve">(</w:t>
      </w:r>
      <w:hyperlink w:anchor="ref-lukas2014ClimateChangeColorado">
        <w:r>
          <w:rPr>
            <w:rStyle w:val="Hyperlink"/>
          </w:rPr>
          <w:t xml:space="preserve">Lukas et al., 2014</w:t>
        </w:r>
      </w:hyperlink>
      <w:r>
        <w:t xml:space="preserve">)</w:t>
      </w:r>
      <w:r>
        <w:t xml:space="preserve">. Most precipitation falls during the winter months, however more southern locations generally receive more precipitation in the summer months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reflect the topographically-driven climate patterns. Low elevation valleys and intermountain basins are dominated by grasslands and shrublands, forest occupy intermediate elevations, and the highest elevations are characterized by alpine plant communities. The species composition of forests across the SRME also show distinct elevation patterns.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w:t>
      </w:r>
      <w:r>
        <w:t xml:space="preserve">Forests dynamics across the SRME are strongly shaped by climate-sensitive disturbances, notably wildfires, outbreaks of native bark beetles, and windstorms</w:t>
      </w:r>
      <w:r>
        <w:t xml:space="preserve"> </w:t>
      </w:r>
      <w:r>
        <w:t xml:space="preserve">(</w:t>
      </w:r>
      <w:hyperlink w:anchor="ref-baker1990">
        <w:r>
          <w:rPr>
            <w:rStyle w:val="Hyperlink"/>
          </w:rPr>
          <w:t xml:space="preserve">Baker and Veblen, 1990</w:t>
        </w:r>
      </w:hyperlink>
      <w:r>
        <w:t xml:space="preserve">;</w:t>
      </w:r>
      <w:r>
        <w:t xml:space="preserve"> </w:t>
      </w:r>
      <w:hyperlink w:anchor="ref-peet1981ForestVegetationColorado">
        <w:r>
          <w:rPr>
            <w:rStyle w:val="Hyperlink"/>
          </w:rPr>
          <w:t xml:space="preserve">Peet, 1981</w:t>
        </w:r>
      </w:hyperlink>
      <w:r>
        <w:t xml:space="preserve">;</w:t>
      </w:r>
      <w:r>
        <w:t xml:space="preserve"> </w:t>
      </w:r>
      <w:hyperlink w:anchor="ref-veblen2000ClimaticHumanInfluences">
        <w:r>
          <w:rPr>
            <w:rStyle w:val="Hyperlink"/>
          </w:rPr>
          <w:t xml:space="preserve">Veblen et al., 2000</w:t>
        </w:r>
      </w:hyperlink>
      <w:r>
        <w:t xml:space="preserve">;</w:t>
      </w:r>
      <w:r>
        <w:t xml:space="preserve"> </w:t>
      </w:r>
      <w:hyperlink w:anchor="X6d15166298ccfaa854e56f5197e8b0dbab0811c">
        <w:r>
          <w:rPr>
            <w:rStyle w:val="Hyperlink"/>
          </w:rPr>
          <w:t xml:space="preserve">Veblen et al., 1994</w:t>
        </w:r>
      </w:hyperlink>
      <w:r>
        <w:t xml:space="preserve">)</w:t>
      </w:r>
      <w:r>
        <w:t xml:space="preserve">.</w:t>
      </w:r>
    </w:p>
    <w:p>
      <w:pPr>
        <w:pStyle w:val="BodyText"/>
      </w:pPr>
      <w:r>
        <w:t xml:space="preserve">Aspen is widely distributed across the SRME (Fig.</w:t>
      </w:r>
      <w:r>
        <w:t xml:space="preserve"> </w:t>
      </w:r>
      <w:r>
        <w:t xml:space="preserve">1</w:t>
      </w:r>
      <w:r>
        <w:t xml:space="preserve">.</w:t>
      </w:r>
    </w:p>
    <w:p>
      <w:pPr>
        <w:pStyle w:val="CaptionedFigure"/>
      </w:pPr>
      <w:r>
        <w:drawing>
          <wp:inline>
            <wp:extent cx="3247802" cy="4333460"/>
            <wp:effectExtent b="0" l="0" r="0" t="0"/>
            <wp:docPr descr="Figure 1: The Southern Rocky Mountain Ecoregion and current distribution of aspen." title="" id="25" name="Picture"/>
            <a:graphic>
              <a:graphicData uri="http://schemas.openxmlformats.org/drawingml/2006/picture">
                <pic:pic>
                  <pic:nvPicPr>
                    <pic:cNvPr descr="../Results/Figures/StudyArea.jpg" id="26" name="Picture"/>
                    <pic:cNvPicPr>
                      <a:picLocks noChangeArrowheads="1" noChangeAspect="1"/>
                    </pic:cNvPicPr>
                  </pic:nvPicPr>
                  <pic:blipFill>
                    <a:blip r:embed="rId24"/>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7"/>
    <w:bookmarkStart w:id="33" w:name="data"/>
    <w:p>
      <w:pPr>
        <w:pStyle w:val="Heading2"/>
      </w:pPr>
      <w:r>
        <w:t xml:space="preserve">Data</w:t>
      </w:r>
    </w:p>
    <w:bookmarkStart w:id="28" w:name="species-occurrence-data"/>
    <w:p>
      <w:pPr>
        <w:pStyle w:val="Heading3"/>
      </w:pPr>
      <w:r>
        <w:t xml:space="preserve">Species occurrence data</w:t>
      </w:r>
    </w:p>
    <w:p>
      <w:pPr>
        <w:pStyle w:val="FirstParagraph"/>
      </w:pPr>
      <w:r>
        <w:t xml:space="preserve">[MAX]</w:t>
      </w:r>
    </w:p>
    <w:bookmarkEnd w:id="28"/>
    <w:bookmarkStart w:id="29" w:name="predictor-variables"/>
    <w:p>
      <w:pPr>
        <w:pStyle w:val="Heading3"/>
      </w:pPr>
      <w:r>
        <w:t xml:space="preserve">Predictor variables</w:t>
      </w:r>
    </w:p>
    <w:p>
      <w:pPr>
        <w:pStyle w:val="FirstParagraph"/>
      </w:pPr>
      <w:r>
        <w:t xml:space="preserve">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which provides 1 x 1 km rasters of current and future climate. To represent current conditions (1981-2010) ,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was used to downscale 4 x 4 km climate data from the PRISM Climate Group</w:t>
      </w:r>
      <w:r>
        <w:t xml:space="preserve"> </w:t>
      </w:r>
      <w:r>
        <w:t xml:space="preserve">(</w:t>
      </w:r>
      <w:hyperlink w:anchor="ref-prismclimategroup2021">
        <w:r>
          <w:rPr>
            <w:rStyle w:val="Hyperlink"/>
          </w:rPr>
          <w:t xml:space="preserve">2021</w:t>
        </w:r>
      </w:hyperlink>
      <w:r>
        <w:t xml:space="preserve">)</w:t>
      </w:r>
      <w:r>
        <w:t xml:space="preserve">. The ClimateNA software is also used to downscale data from CMIP6 to represent future conditions in three thirty-year periods, 2011-2040, 2041-2070, and 2071-2100. Given considerable uncertainty about future emissions, we used data depicting two scenarios (i.e., Shared Socioeconomic Pathways; SSPs) generated under CMIP6. SSP2-4.5 describes an intermediate scenario characterized by moderate increases in emission through 2040 followed by a decline. SSP5-8.5 describes a more extreme scenario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w:t>
      </w:r>
    </w:p>
    <w:p>
      <w:pPr>
        <w:pStyle w:val="BodyText"/>
      </w:pPr>
      <w:r>
        <w:t xml:space="preserve">In addition to uncertainty about societal decisions about greenhouse gas emissions, considerable variation exists among the more than 50 atmosphere-ocean general circulation models (AOGCMs) included in CMIP6. This variation exists due to differences in complexity, assumptions, and parameterization among AOGCMs. For regional applications, AOCGMs with more simulations for the historical period, less bias, and a finer spatial grain are preferable []</w:t>
      </w:r>
    </w:p>
    <w:p>
      <w:pPr>
        <w:pStyle w:val="BodyText"/>
      </w:pPr>
      <w:r>
        <w:t xml:space="preserve">Importantly, predictions made by some AOGCMs are believed to overestimate future warming</w:t>
      </w:r>
      <w:r>
        <w:t xml:space="preserve"> </w:t>
      </w:r>
      <w:r>
        <w:t xml:space="preserve">(</w:t>
      </w:r>
      <w:hyperlink w:anchor="X0773c8e2ab11f078ec717d59314f0220fe06795">
        <w:r>
          <w:rPr>
            <w:rStyle w:val="Hyperlink"/>
          </w:rPr>
          <w:t xml:space="preserve">Hausfather et al., 2022</w:t>
        </w:r>
      </w:hyperlink>
      <w:r>
        <w:t xml:space="preserve">)</w:t>
      </w:r>
      <w:r>
        <w:t xml:space="preserve">.</w:t>
      </w:r>
    </w:p>
    <w:p>
      <w:pPr>
        <w:pStyle w:val="BodyText"/>
      </w:pPr>
      <w:r>
        <w:t xml:space="preserve">Given mountainous areas such as the Southern Rocky Mountains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all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30-m digital elevation model (DEM) from the USGS (ref).</w:t>
      </w:r>
    </w:p>
    <w:p>
      <w:pPr>
        <w:pStyle w:val="BodyText"/>
      </w:pPr>
      <w:r>
        <w:t xml:space="preserve">We initially explored 38 climate variables, including the 33 biologically relevant climate variables available from the AdaptWest Project</w:t>
      </w:r>
      <w:r>
        <w:t xml:space="preserve"> </w:t>
      </w:r>
      <w:r>
        <w:t xml:space="preserve">(</w:t>
      </w:r>
      <w:hyperlink w:anchor="Xcb40ace7ff505c24620413cbf7691d7f26a4667">
        <w:r>
          <w:rPr>
            <w:rStyle w:val="Hyperlink"/>
          </w:rPr>
          <w:t xml:space="preserve">2022</w:t>
        </w:r>
      </w:hyperlink>
      <w:r>
        <w:t xml:space="preserve">)</w:t>
      </w:r>
      <w:r>
        <w:t xml:space="preserve"> </w:t>
      </w:r>
      <w:r>
        <w:t xml:space="preserve">and five other variables previously identified as important predictors of aspen habitat</w:t>
      </w:r>
      <w:r>
        <w:t xml:space="preserve"> </w:t>
      </w:r>
      <w:r>
        <w:t xml:space="preserve">(</w:t>
      </w:r>
      <w:hyperlink w:anchor="ref-rehfeldt2009AspenClimateSuddena">
        <w:r>
          <w:rPr>
            <w:rStyle w:val="Hyperlink"/>
          </w:rPr>
          <w:t xml:space="preserve">Rehfeldt et al., 2009</w:t>
        </w:r>
      </w:hyperlink>
      <w:r>
        <w:t xml:space="preserve">;</w:t>
      </w:r>
      <w:r>
        <w:t xml:space="preserve"> </w:t>
      </w:r>
      <w:hyperlink w:anchor="X5be6899825a8c3d2d140aa48216acf46924864d">
        <w:r>
          <w:rPr>
            <w:rStyle w:val="Hyperlink"/>
          </w:rPr>
          <w:t xml:space="preserve">Rehfeldt et al., 2006</w:t>
        </w:r>
      </w:hyperlink>
      <w:r>
        <w:t xml:space="preserve">)</w:t>
      </w:r>
      <w:r>
        <w:t xml:space="preserve"> </w:t>
      </w:r>
      <w:r>
        <w:t xml:space="preserve">(Table</w:t>
      </w:r>
      <w:r>
        <w:t xml:space="preserve"> </w:t>
      </w:r>
      <w:r>
        <w:t xml:space="preserve">1</w:t>
      </w:r>
      <w:r>
        <w:t xml:space="preserve">. Preliminary analyses reveleaed</w:t>
      </w:r>
    </w:p>
    <w:p>
      <w:pPr>
        <w:pStyle w:val="BodyText"/>
      </w:pPr>
      <w:r>
        <w:t xml:space="preserve">Prior to building SDMs, we calculated pairwise Spearman correlations among our climate variables to assess multicollinearity.</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 we use the DEM 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and a 15-cell neighborhood (TPI15) to represent both fire and coarse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microclimate,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 were calculated in R using the spatialeco package</w:t>
      </w:r>
      <w:r>
        <w:t xml:space="preserve">(</w:t>
      </w:r>
      <w:hyperlink w:anchor="ref-spatialEco">
        <w:r>
          <w:rPr>
            <w:rStyle w:val="Hyperlink"/>
          </w:rPr>
          <w:t xml:space="preserve">Evans and Murphy, 2021</w:t>
        </w:r>
      </w:hyperlink>
      <w:r>
        <w:t xml:space="preserve">)</w:t>
      </w:r>
      <w:r>
        <w:t xml:space="preserve">. We also included soil properties in our models of aspen habitat suitability. Specifically,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w:t>
      </w:r>
    </w:p>
    <w:p>
      <w:pPr>
        <w:pStyle w:val="BodyText"/>
      </w:pPr>
      <w:r>
        <w:t xml:space="preserve">We did not include elevation, latitude, and longitude in our modeling because relationships are expected to be only correlative and thus may affect predictor explanation and projection</w:t>
      </w:r>
      <w:r>
        <w:t xml:space="preserve"> </w:t>
      </w:r>
      <w:r>
        <w:t xml:space="preserve">(</w:t>
      </w:r>
      <w:hyperlink w:anchor="Xa394076d2f0f03ea6b9000cd6143e30f891c94f">
        <w:r>
          <w:rPr>
            <w:rStyle w:val="Hyperlink"/>
          </w:rPr>
          <w:t xml:space="preserve">Araújo et al., 2019</w:t>
        </w:r>
      </w:hyperlink>
      <w:r>
        <w:t xml:space="preserve">)</w:t>
      </w:r>
      <w:r>
        <w:t xml:space="preserve">. Instead we compare model residuals with these variables.</w:t>
      </w:r>
    </w:p>
    <w:p>
      <w:pPr>
        <w:pStyle w:val="TableCaption"/>
      </w:pPr>
      <w:r>
        <w:t xml:space="preserve">Table 1:</w:t>
      </w:r>
      <w:r>
        <w:t xml:space="preserve"> </w:t>
      </w:r>
      <w:r>
        <w:t xml:space="preserve">Predictor variables selected for modeling the distribution of aspen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36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Climate variables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ADI is expected to limit aspen (Rehfeltd et al. 2009)</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Very cold temperatures may limit aspen (Rehfeltd et al. 2009)</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MAR may inhibit aspen, particularly at warmer sites</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relative humidity may limit seasonal moisture stress.</w:t>
            </w:r>
          </w:p>
        </w:tc>
      </w:tr>
      <w:tr>
        <w:trPr>
          <w:trHeight w:val="36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contents may inhibit aspen growth (Jones and DeByle 1985)</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inhibit aspen growth (Zhang et al. 2013)</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warmer sites</w:t>
            </w:r>
          </w:p>
        </w:tc>
      </w:tr>
      <w:tr>
        <w:trPr>
          <w:trHeight w:val="41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 calculated using a 3 x 3 cell neighborhood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(Jones and DeByle 1985)</w:t>
            </w:r>
          </w:p>
        </w:tc>
      </w:tr>
      <w:tr>
        <w:trPr>
          <w:trHeight w:val="415"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 calculated using a 15 x 15 cell neighborhood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(Jones and DeByle 1985)</w:t>
            </w:r>
          </w:p>
        </w:tc>
      </w:tr>
    </w:tbl>
    <w:bookmarkEnd w:id="29"/>
    <w:bookmarkStart w:id="30" w:name="data-processing"/>
    <w:p>
      <w:pPr>
        <w:pStyle w:val="Heading3"/>
      </w:pPr>
      <w:r>
        <w:t xml:space="preserve">Data processing</w:t>
      </w:r>
    </w:p>
    <w:bookmarkEnd w:id="30"/>
    <w:bookmarkStart w:id="31"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generalised linear models (GLMs), generalized additive models (GAMs), gradient boosted tree (GBTs), and random forests (RFs). All models were fit in 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the</w:t>
      </w:r>
      <w:r>
        <w:t xml:space="preserve"> </w:t>
      </w:r>
      <w:r>
        <w:rPr>
          <w:iCs/>
          <w:i/>
        </w:rPr>
        <w:t xml:space="preserve">tidymodels</w:t>
      </w:r>
      <w:r>
        <w:t xml:space="preserve"> </w:t>
      </w:r>
      <w:r>
        <w:t xml:space="preserve">package</w:t>
      </w:r>
      <w:r>
        <w:t xml:space="preserve"> </w:t>
      </w:r>
      <w:r>
        <w:t xml:space="preserve">(</w:t>
      </w:r>
      <w:hyperlink w:anchor="ref-kuhn2020TidymodelsCollectionPackages">
        <w:r>
          <w:rPr>
            <w:rStyle w:val="Hyperlink"/>
          </w:rPr>
          <w:t xml:space="preserve">Kuhn and Wickham, 2020</w:t>
        </w:r>
      </w:hyperlink>
      <w:r>
        <w:t xml:space="preserve">)</w:t>
      </w:r>
      <w:r>
        <w:t xml:space="preserve">, which draws upon the</w:t>
      </w:r>
      <w:r>
        <w:t xml:space="preserve"> </w:t>
      </w:r>
      <w:r>
        <w:rPr>
          <w:iCs/>
          <w:i/>
        </w:rPr>
        <w:t xml:space="preserve">stats</w:t>
      </w:r>
      <w:r>
        <w:t xml:space="preserve"> </w:t>
      </w:r>
      <w:r>
        <w:t xml:space="preserve">(</w:t>
      </w:r>
      <w:hyperlink w:anchor="X4878592beea4a6dfca9c91383c925df652b2c7a">
        <w:r>
          <w:rPr>
            <w:rStyle w:val="Hyperlink"/>
          </w:rPr>
          <w:t xml:space="preserve">R Core Team, 2022</w:t>
        </w:r>
      </w:hyperlink>
      <w:r>
        <w:t xml:space="preserve">)</w:t>
      </w:r>
      <w:r>
        <w:t xml:space="preserve">,</w:t>
      </w:r>
      <w:r>
        <w:t xml:space="preserve"> </w:t>
      </w:r>
      <w:r>
        <w:rPr>
          <w:iCs/>
          <w:i/>
        </w:rPr>
        <w:t xml:space="preserve">mgcv</w:t>
      </w:r>
      <w:r>
        <w:t xml:space="preserve"> </w:t>
      </w:r>
      <w:r>
        <w:t xml:space="preserve">(</w:t>
      </w:r>
      <w:hyperlink w:anchor="ref-mgcv">
        <w:r>
          <w:rPr>
            <w:rStyle w:val="Hyperlink"/>
          </w:rPr>
          <w:t xml:space="preserve">Wood, 2011</w:t>
        </w:r>
      </w:hyperlink>
      <w:r>
        <w:t xml:space="preserve">)</w:t>
      </w:r>
      <w:r>
        <w:t xml:space="preserve">,</w:t>
      </w:r>
      <w:r>
        <w:t xml:space="preserve"> </w:t>
      </w:r>
      <w:r>
        <w:rPr>
          <w:iCs/>
          <w:i/>
        </w:rPr>
        <w:t xml:space="preserve">ranger</w:t>
      </w:r>
      <w:r>
        <w:t xml:space="preserve"> </w:t>
      </w:r>
      <w:r>
        <w:t xml:space="preserve">(</w:t>
      </w:r>
      <w:hyperlink w:anchor="ref-wright2017RangerFastImplementation">
        <w:r>
          <w:rPr>
            <w:rStyle w:val="Hyperlink"/>
          </w:rPr>
          <w:t xml:space="preserve">Wright and Ziegler, 2017</w:t>
        </w:r>
      </w:hyperlink>
      <w:r>
        <w:t xml:space="preserve">)</w:t>
      </w:r>
      <w:r>
        <w:t xml:space="preserve">, and xgboost</w:t>
      </w:r>
      <w:r>
        <w:t xml:space="preserve"> </w:t>
      </w:r>
      <w:r>
        <w:t xml:space="preserve">(</w:t>
      </w:r>
      <w:hyperlink w:anchor="ref-chen2016XGBoostScalableTree">
        <w:r>
          <w:rPr>
            <w:rStyle w:val="Hyperlink"/>
          </w:rPr>
          <w:t xml:space="preserve">Chen and Guestrin, 2016</w:t>
        </w:r>
      </w:hyperlink>
      <w:r>
        <w:t xml:space="preserve">)</w:t>
      </w:r>
      <w:r>
        <w:t xml:space="preserve"> </w:t>
      </w:r>
      <w:r>
        <w:t xml:space="preserve">packages.</w:t>
      </w:r>
    </w:p>
    <w:p>
      <w:pPr>
        <w:pStyle w:val="BodyText"/>
      </w:pPr>
      <w:r>
        <w:t xml:space="preserve">GLMs were fit using a logit link function and a binomial error distribution. For all variables, we included both linear and quadratic effects. Models were fit using a Lasso regularization approach. The only tuned the penalty factor. We did not explore any interaction terms.</w:t>
      </w:r>
    </w:p>
    <w:p>
      <w:pPr>
        <w:pStyle w:val="BodyText"/>
      </w:pPr>
      <w:r>
        <w:t xml:space="preserve">GAMS were fit using restricted maximum likelihood (REML), following recommendations from Pedersen et al.</w:t>
      </w:r>
      <w:r>
        <w:t xml:space="preserve">(</w:t>
      </w:r>
      <w:hyperlink w:anchor="X9ce84d2edd409eea4a5bb93b0b43ed50266fe99">
        <w:r>
          <w:rPr>
            <w:rStyle w:val="Hyperlink"/>
          </w:rPr>
          <w:t xml:space="preserve">2018</w:t>
        </w:r>
      </w:hyperlink>
      <w:r>
        <w:t xml:space="preserve">)</w:t>
      </w:r>
      <w:r>
        <w:t xml:space="preserve">.</w:t>
      </w:r>
      <w:r>
        <w:t xml:space="preserve"> </w:t>
      </w:r>
      <w:r>
        <w:rPr>
          <w:iCs/>
          <w:i/>
        </w:rPr>
        <w:t xml:space="preserve">Second, the k parameter which is the number of basis functions (for creating smoothing terms) specifies the possible maximum Effective Degree of Freedom (EDF). This is the amount of wiggliness that each function can have. Thus k should be high enough to give sufficient flexibility and low enough to be computationally affordable (the higher the k, the longer it takes to fit the model). We used default k (k = 10) in our modeling procedure</w:t>
      </w:r>
    </w:p>
    <w:p>
      <w:pPr>
        <w:pStyle w:val="BodyText"/>
      </w:pPr>
      <w:r>
        <w:t xml:space="preserve">Random For the RF model, we tuned the minimum number of data points in a node that is required for the node to be split further (min_n) and the number of variables to try at each split (mtry).</w:t>
      </w:r>
    </w:p>
    <w:p>
      <w:pPr>
        <w:pStyle w:val="BodyText"/>
      </w:pPr>
      <w:r>
        <w:t xml:space="preserve">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p>
      <w:pPr>
        <w:pStyle w:val="BodyText"/>
      </w:pPr>
      <w:r>
        <w:t xml:space="preserve">The performance of individual models was</w:t>
      </w:r>
    </w:p>
    <w:bookmarkEnd w:id="31"/>
    <w:bookmarkStart w:id="32" w:name="ensemble-model"/>
    <w:p>
      <w:pPr>
        <w:pStyle w:val="Heading3"/>
      </w:pPr>
      <w:r>
        <w:t xml:space="preserve">Ensemble Model</w:t>
      </w:r>
    </w:p>
    <w:p>
      <w:pPr>
        <w:pStyle w:val="FirstParagraph"/>
      </w:pPr>
      <w:r>
        <w:t xml:space="preserve">We calculated a weighted probabilty of occurrence from all three presence-absence models. Weights assigned were based on the ROC AUC statistic.</w:t>
      </w:r>
    </w:p>
    <w:bookmarkEnd w:id="32"/>
    <w:bookmarkEnd w:id="33"/>
    <w:bookmarkEnd w:id="34"/>
    <w:bookmarkStart w:id="60" w:name="results"/>
    <w:p>
      <w:pPr>
        <w:pStyle w:val="Heading1"/>
      </w:pPr>
      <w:r>
        <w:t xml:space="preserve">Results</w:t>
      </w:r>
    </w:p>
    <w:bookmarkStart w:id="59" w:name="model"/>
    <w:p>
      <w:pPr>
        <w:pStyle w:val="Heading2"/>
      </w:pPr>
      <w:r>
        <w:t xml:space="preserve">Model</w:t>
      </w:r>
    </w:p>
    <w:bookmarkStart w:id="35" w:name="model-performance"/>
    <w:p>
      <w:pPr>
        <w:pStyle w:val="Heading3"/>
      </w:pPr>
      <w:r>
        <w:t xml:space="preserve">Model performance</w:t>
      </w:r>
    </w:p>
    <w:p>
      <w:pPr>
        <w:pStyle w:val="FirstParagraph"/>
      </w:pPr>
      <w:r>
        <w:t xml:space="preserve">(Table</w:t>
      </w:r>
      <w:r>
        <w:t xml:space="preserve"> </w:t>
      </w:r>
      <w:r>
        <w:t xml:space="preserve">2</w:t>
      </w:r>
      <w:r>
        <w:t xml:space="preserve">).</w:t>
      </w:r>
    </w:p>
    <w:p>
      <w:pPr>
        <w:pStyle w:val="BodyText"/>
      </w:pPr>
      <w:r>
        <w:t xml:space="preserve">(Table</w:t>
      </w:r>
      <w:r>
        <w:t xml:space="preserve"> </w:t>
      </w:r>
      <w:r>
        <w:t xml:space="preserve">4</w:t>
      </w:r>
      <w:r>
        <w:t xml:space="preserve">).</w:t>
      </w:r>
    </w:p>
    <w:p>
      <w:pPr>
        <w:pStyle w:val="TableCaption"/>
      </w:pPr>
      <w:r>
        <w:t xml:space="preserve">Table 2:</w:t>
      </w:r>
      <w:r>
        <w:t xml:space="preserve"> </w:t>
      </w:r>
      <w:r>
        <w:t xml:space="preserve">Model performance statistics. Observed values are from independent testing data and predicted value assume a modeled probabilty of aspen occurrence of at least 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r>
      <w:tr>
        <w:trPr>
          <w:trHeight w:val="36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r>
    </w:tbl>
    <w:bookmarkEnd w:id="35"/>
    <w:bookmarkStart w:id="36" w:name="variable-importance"/>
    <w:p>
      <w:pPr>
        <w:pStyle w:val="Heading3"/>
      </w:pPr>
      <w:r>
        <w:t xml:space="preserve">Variable importance</w:t>
      </w:r>
    </w:p>
    <w:p>
      <w:pPr>
        <w:pStyle w:val="FirstParagraph"/>
      </w:pPr>
      <w:r>
        <w:t xml:space="preserve">Across the in</w:t>
      </w:r>
    </w:p>
    <w:bookmarkEnd w:id="36"/>
    <w:bookmarkStart w:id="58" w:name="projection"/>
    <w:p>
      <w:pPr>
        <w:pStyle w:val="Heading3"/>
      </w:pPr>
      <w:r>
        <w:t xml:space="preserve">Projection</w:t>
      </w:r>
    </w:p>
    <w:p>
      <w:pPr>
        <w:pStyle w:val="FirstParagraph"/>
      </w:pPr>
      <w:r>
        <w:t xml:space="preserve">(Fig.</w:t>
      </w:r>
      <w:r>
        <w:t xml:space="preserve"> </w:t>
      </w:r>
      <w:r>
        <w:t xml:space="preserve">2</w:t>
      </w:r>
      <w:r>
        <w:t xml:space="preserve">.</w:t>
      </w:r>
    </w:p>
    <w:p>
      <w:pPr>
        <w:pStyle w:val="BodyText"/>
      </w:pPr>
      <w:r>
        <w:t xml:space="preserve">(Fig.</w:t>
      </w:r>
      <w:r>
        <w:t xml:space="preserve"> </w:t>
      </w:r>
      <w:r>
        <w:t xml:space="preserve">3</w:t>
      </w:r>
      <w:r>
        <w:t xml:space="preserve">. (Fig.</w:t>
      </w:r>
      <w:r>
        <w:t xml:space="preserve"> </w:t>
      </w:r>
      <w:r>
        <w:t xml:space="preserve">4</w:t>
      </w:r>
      <w:r>
        <w:t xml:space="preserve">.</w:t>
      </w:r>
    </w:p>
    <w:p>
      <w:pPr>
        <w:pStyle w:val="CaptionedFigure"/>
      </w:pPr>
      <w:r>
        <w:drawing>
          <wp:inline>
            <wp:extent cx="6400800" cy="3911600"/>
            <wp:effectExtent b="0" l="0" r="0" t="0"/>
            <wp:docPr descr="Figure 2: Variable importance" title="" id="38" name="Picture"/>
            <a:graphic>
              <a:graphicData uri="http://schemas.openxmlformats.org/drawingml/2006/picture">
                <pic:pic>
                  <pic:nvPicPr>
                    <pic:cNvPr descr="../Results/Figures/vip-ale.jpg" id="39" name="Picture"/>
                    <pic:cNvPicPr>
                      <a:picLocks noChangeArrowheads="1" noChangeAspect="1"/>
                    </pic:cNvPicPr>
                  </pic:nvPicPr>
                  <pic:blipFill>
                    <a:blip r:embed="rId37"/>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2: Variable importance</w:t>
      </w:r>
    </w:p>
    <w:p>
      <w:pPr>
        <w:pStyle w:val="CaptionedFigure"/>
      </w:pPr>
      <w:r>
        <w:drawing>
          <wp:inline>
            <wp:extent cx="6400800" cy="2971800"/>
            <wp:effectExtent b="0" l="0" r="0" t="0"/>
            <wp:docPr descr="Figure 3: The ensemble projection of aspen habitat suitability under current conditions and projections for future periods based on an SSP5-8.5 scenario." title="" id="41" name="Picture"/>
            <a:graphic>
              <a:graphicData uri="http://schemas.openxmlformats.org/drawingml/2006/picture">
                <pic:pic>
                  <pic:nvPicPr>
                    <pic:cNvPr descr="../Results/Figures/FigMaps-Change.jpg" id="42" name="Picture"/>
                    <pic:cNvPicPr>
                      <a:picLocks noChangeArrowheads="1" noChangeAspect="1"/>
                    </pic:cNvPicPr>
                  </pic:nvPicPr>
                  <pic:blipFill>
                    <a:blip r:embed="rId40"/>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3: The ensemble projection of aspen habitat suitability under current conditions and projections for future periods based on an SSP5-8.5 scenario.</w:t>
      </w:r>
    </w:p>
    <w:p>
      <w:pPr>
        <w:pStyle w:val="CaptionedFigure"/>
      </w:pPr>
      <w:r>
        <w:drawing>
          <wp:inline>
            <wp:extent cx="3239999" cy="2519999"/>
            <wp:effectExtent b="0" l="0" r="0" t="0"/>
            <wp:docPr descr="Figure 4: Change" title="" id="44" name="Picture"/>
            <a:graphic>
              <a:graphicData uri="http://schemas.openxmlformats.org/drawingml/2006/picture">
                <pic:pic>
                  <pic:nvPicPr>
                    <pic:cNvPr descr="../Results/Figures/change-probability.jpg" id="45" name="Picture"/>
                    <pic:cNvPicPr>
                      <a:picLocks noChangeArrowheads="1" noChangeAspect="1"/>
                    </pic:cNvPicPr>
                  </pic:nvPicPr>
                  <pic:blipFill>
                    <a:blip r:embed="rId43"/>
                    <a:stretch>
                      <a:fillRect/>
                    </a:stretch>
                  </pic:blipFill>
                  <pic:spPr bwMode="auto">
                    <a:xfrm>
                      <a:off x="0" y="0"/>
                      <a:ext cx="3239999" cy="2519999"/>
                    </a:xfrm>
                    <a:prstGeom prst="rect">
                      <a:avLst/>
                    </a:prstGeom>
                    <a:noFill/>
                    <a:ln w="9525">
                      <a:noFill/>
                      <a:headEnd/>
                      <a:tailEnd/>
                    </a:ln>
                  </pic:spPr>
                </pic:pic>
              </a:graphicData>
            </a:graphic>
          </wp:inline>
        </w:drawing>
      </w:r>
    </w:p>
    <w:p>
      <w:pPr>
        <w:pStyle w:val="ImageCaption"/>
      </w:pPr>
      <w:r>
        <w:t xml:space="preserve">Figure 4: Change</w:t>
      </w:r>
    </w:p>
    <w:p>
      <w:pPr>
        <w:pStyle w:val="CaptionedFigure"/>
      </w:pPr>
      <w:r>
        <w:drawing>
          <wp:inline>
            <wp:extent cx="3239999" cy="5399999"/>
            <wp:effectExtent b="0" l="0" r="0" t="0"/>
            <wp:docPr descr="Figure 5: GainLoss-Geo" title="" id="47" name="Picture"/>
            <a:graphic>
              <a:graphicData uri="http://schemas.openxmlformats.org/drawingml/2006/picture">
                <pic:pic>
                  <pic:nvPicPr>
                    <pic:cNvPr descr="../Results/Figures/gainloss-geography.jpg" id="48" name="Picture"/>
                    <pic:cNvPicPr>
                      <a:picLocks noChangeArrowheads="1" noChangeAspect="1"/>
                    </pic:cNvPicPr>
                  </pic:nvPicPr>
                  <pic:blipFill>
                    <a:blip r:embed="rId46"/>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GainLoss-Geo</w:t>
      </w:r>
    </w:p>
    <w:p>
      <w:pPr>
        <w:pStyle w:val="CaptionedFigure"/>
      </w:pPr>
      <w:r>
        <w:drawing>
          <wp:inline>
            <wp:extent cx="3200400" cy="2971800"/>
            <wp:effectExtent b="0" l="0" r="0" t="0"/>
            <wp:docPr descr="Figure 6: LossGainMaps" title="" id="50" name="Picture"/>
            <a:graphic>
              <a:graphicData uri="http://schemas.openxmlformats.org/drawingml/2006/picture">
                <pic:pic>
                  <pic:nvPicPr>
                    <pic:cNvPr descr="../Results/Figures/FigMaps-LossGain.jpg" id="51" name="Picture"/>
                    <pic:cNvPicPr>
                      <a:picLocks noChangeArrowheads="1" noChangeAspect="1"/>
                    </pic:cNvPicPr>
                  </pic:nvPicPr>
                  <pic:blipFill>
                    <a:blip r:embed="rId49"/>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6: LossGainMaps</w:t>
      </w:r>
    </w:p>
    <w:p>
      <w:pPr>
        <w:pStyle w:val="CaptionedFigure"/>
      </w:pPr>
      <w:r>
        <w:drawing>
          <wp:inline>
            <wp:extent cx="3200400" cy="2971800"/>
            <wp:effectExtent b="0" l="0" r="0" t="0"/>
            <wp:docPr descr="Figure 7: GainDistanceMaps" title="" id="53" name="Picture"/>
            <a:graphic>
              <a:graphicData uri="http://schemas.openxmlformats.org/drawingml/2006/picture">
                <pic:pic>
                  <pic:nvPicPr>
                    <pic:cNvPr descr="../Results/Figures/FigMaps-Gain-Distance.jpg" id="54" name="Picture"/>
                    <pic:cNvPicPr>
                      <a:picLocks noChangeArrowheads="1" noChangeAspect="1"/>
                    </pic:cNvPicPr>
                  </pic:nvPicPr>
                  <pic:blipFill>
                    <a:blip r:embed="rId52"/>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7: GainDistanceMaps</w:t>
      </w:r>
    </w:p>
    <w:p>
      <w:pPr>
        <w:pStyle w:val="CaptionedFigure"/>
      </w:pPr>
      <w:r>
        <w:drawing>
          <wp:inline>
            <wp:extent cx="3239999" cy="5399999"/>
            <wp:effectExtent b="0" l="0" r="0" t="0"/>
            <wp:docPr descr="Figure 8: GainDistanceMaps" title="" id="56" name="Picture"/>
            <a:graphic>
              <a:graphicData uri="http://schemas.openxmlformats.org/drawingml/2006/picture">
                <pic:pic>
                  <pic:nvPicPr>
                    <pic:cNvPr descr="../Results/Figures/gaindist-geography.jpg" id="57" name="Picture"/>
                    <pic:cNvPicPr>
                      <a:picLocks noChangeArrowheads="1" noChangeAspect="1"/>
                    </pic:cNvPicPr>
                  </pic:nvPicPr>
                  <pic:blipFill>
                    <a:blip r:embed="rId55"/>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8: GainDistanceMaps</w:t>
      </w:r>
    </w:p>
    <w:bookmarkEnd w:id="58"/>
    <w:bookmarkEnd w:id="59"/>
    <w:bookmarkEnd w:id="60"/>
    <w:bookmarkStart w:id="61" w:name="discussion"/>
    <w:p>
      <w:pPr>
        <w:pStyle w:val="Heading1"/>
      </w:pPr>
      <w:r>
        <w:t xml:space="preserve">Discussion</w:t>
      </w:r>
    </w:p>
    <w:p>
      <w:pPr>
        <w:pStyle w:val="FirstParagraph"/>
      </w:pPr>
      <w:r>
        <w:t xml:space="preserve">Quaking aspen is one of the most widely distributed tree species. While our study area clearly includes areas where aspen is absent, we acknowledge that our dataset may be environmentally truncated</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r>
        <w:t xml:space="preserve">.</w:t>
      </w:r>
    </w:p>
    <w:bookmarkEnd w:id="61"/>
    <w:bookmarkStart w:id="62" w:name="conclusions"/>
    <w:p>
      <w:pPr>
        <w:pStyle w:val="Heading1"/>
      </w:pPr>
      <w:r>
        <w:t xml:space="preserve">Conclusions</w:t>
      </w:r>
    </w:p>
    <w:bookmarkEnd w:id="62"/>
    <w:bookmarkStart w:id="123" w:name="references"/>
    <w:p>
      <w:pPr>
        <w:pStyle w:val="Heading1"/>
      </w:pPr>
      <w:r>
        <w:t xml:space="preserve">References</w:t>
      </w:r>
    </w:p>
    <w:bookmarkStart w:id="122" w:name="refs"/>
    <w:bookmarkStart w:id="64" w:name="Xcb40ace7ff505c24620413cbf7691d7f26a4667"/>
    <w:p>
      <w:pPr>
        <w:pStyle w:val="Bibliography"/>
      </w:pPr>
      <w:r>
        <w:t xml:space="preserve">AdaptWest Project, 2022.</w:t>
      </w:r>
      <w:r>
        <w:t xml:space="preserve"> </w:t>
      </w:r>
      <w:hyperlink r:id="rId63">
        <w:r>
          <w:rPr>
            <w:rStyle w:val="Hyperlink"/>
          </w:rPr>
          <w:t xml:space="preserve">Gridded current and projected climate data for north america at 1km resolution, generated using the ClimateNA v7.30 software (t. Wang et al., 2022).</w:t>
        </w:r>
      </w:hyperlink>
    </w:p>
    <w:bookmarkEnd w:id="64"/>
    <w:bookmarkStart w:id="66"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5">
        <w:r>
          <w:rPr>
            <w:rStyle w:val="Hyperlink"/>
          </w:rPr>
          <w:t xml:space="preserve">https://doi.org/10.1126/sciadv.aat4858</w:t>
        </w:r>
      </w:hyperlink>
    </w:p>
    <w:bookmarkEnd w:id="66"/>
    <w:bookmarkStart w:id="67" w:name="ref-baker1990"/>
    <w:p>
      <w:pPr>
        <w:pStyle w:val="Bibliography"/>
      </w:pPr>
      <w:r>
        <w:t xml:space="preserve">Baker, W.L., Veblen, T.T., 1990. Spruce beetles and fires in the nineteenth-century subalpine forests of western colorado, USA. Arctic and Alpine Research 22, 6580.</w:t>
      </w:r>
    </w:p>
    <w:bookmarkEnd w:id="67"/>
    <w:bookmarkStart w:id="69"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68">
        <w:r>
          <w:rPr>
            <w:rStyle w:val="Hyperlink"/>
          </w:rPr>
          <w:t xml:space="preserve">https://doi.org/10.1029/2018WR022797</w:t>
        </w:r>
      </w:hyperlink>
    </w:p>
    <w:bookmarkEnd w:id="69"/>
    <w:bookmarkStart w:id="71" w:name="ref-chen2016XGBoostScalableTree"/>
    <w:p>
      <w:pPr>
        <w:pStyle w:val="Bibliography"/>
      </w:pPr>
      <w:r>
        <w:t xml:space="preserve">Chen, T., Guestrin, C., 2016. XGBoost: A scalable tree boosting system. pp. 785–794.</w:t>
      </w:r>
      <w:r>
        <w:t xml:space="preserve"> </w:t>
      </w:r>
      <w:hyperlink r:id="rId70">
        <w:r>
          <w:rPr>
            <w:rStyle w:val="Hyperlink"/>
          </w:rPr>
          <w:t xml:space="preserve">https://doi.org/10.1145/2939672.2939785</w:t>
        </w:r>
      </w:hyperlink>
    </w:p>
    <w:bookmarkEnd w:id="71"/>
    <w:bookmarkStart w:id="72" w:name="ref-comer2001SouthernRockyMountains"/>
    <w:p>
      <w:pPr>
        <w:pStyle w:val="Bibliography"/>
      </w:pPr>
      <w:r>
        <w:t xml:space="preserve">Comer, P., 2001. Southern rocky mountains: An ecoregional assessment and conservation blueprint.</w:t>
      </w:r>
    </w:p>
    <w:bookmarkEnd w:id="72"/>
    <w:bookmarkStart w:id="74" w:name="ref-drummond2012SouthernRockiesEcoregion"/>
    <w:p>
      <w:pPr>
        <w:pStyle w:val="Bibliography"/>
      </w:pPr>
      <w:r>
        <w:t xml:space="preserve">Drummond, M.A., 2012.</w:t>
      </w:r>
      <w:r>
        <w:t xml:space="preserve"> </w:t>
      </w:r>
      <w:hyperlink r:id="rId73">
        <w:r>
          <w:rPr>
            <w:rStyle w:val="Hyperlink"/>
          </w:rPr>
          <w:t xml:space="preserve">Southern rockies ecoregion: Chapter 8 in status and trends of land change in the western united states–1973 to 2000</w:t>
        </w:r>
      </w:hyperlink>
      <w:r>
        <w:t xml:space="preserve">. Reston, VA.</w:t>
      </w:r>
    </w:p>
    <w:bookmarkEnd w:id="74"/>
    <w:bookmarkStart w:id="76" w:name="ref-spatialEco"/>
    <w:p>
      <w:pPr>
        <w:pStyle w:val="Bibliography"/>
      </w:pPr>
      <w:r>
        <w:t xml:space="preserve">Evans, J.S., Murphy, M.A., 2021.</w:t>
      </w:r>
      <w:r>
        <w:t xml:space="preserve"> </w:t>
      </w:r>
      <w:hyperlink r:id="rId75">
        <w:r>
          <w:rPr>
            <w:rStyle w:val="Hyperlink"/>
          </w:rPr>
          <w:t xml:space="preserve">spatialEco</w:t>
        </w:r>
      </w:hyperlink>
      <w:r>
        <w:t xml:space="preserve">.</w:t>
      </w:r>
    </w:p>
    <w:bookmarkEnd w:id="76"/>
    <w:bookmarkStart w:id="78"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77">
        <w:r>
          <w:rPr>
            <w:rStyle w:val="Hyperlink"/>
          </w:rPr>
          <w:t xml:space="preserve">https://doi.org/10.1186/2192-1709-1-2</w:t>
        </w:r>
      </w:hyperlink>
    </w:p>
    <w:bookmarkEnd w:id="78"/>
    <w:bookmarkStart w:id="80"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79">
        <w:r>
          <w:rPr>
            <w:rStyle w:val="Hyperlink"/>
          </w:rPr>
          <w:t xml:space="preserve">https://doi.org/10.1111/gcb.12051</w:t>
        </w:r>
      </w:hyperlink>
    </w:p>
    <w:bookmarkEnd w:id="80"/>
    <w:bookmarkStart w:id="82"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81">
        <w:r>
          <w:rPr>
            <w:rStyle w:val="Hyperlink"/>
          </w:rPr>
          <w:t xml:space="preserve">https://doi.org/10.1111/geb.12381</w:t>
        </w:r>
      </w:hyperlink>
    </w:p>
    <w:bookmarkEnd w:id="82"/>
    <w:bookmarkStart w:id="84" w:name="X0773c8e2ab11f078ec717d59314f0220fe06795"/>
    <w:p>
      <w:pPr>
        <w:pStyle w:val="Bibliography"/>
      </w:pPr>
      <w:r>
        <w:t xml:space="preserve">Hausfather, Z., Marvel, K., Schmidt, G.A., Nielsen-Gammon, J.W., Zelinka, M., 2022. Climate simulations: recognize the</w:t>
      </w:r>
      <w:r>
        <w:t xml:space="preserve"> </w:t>
      </w:r>
      <w:r>
        <w:t xml:space="preserve">‘</w:t>
      </w:r>
      <w:r>
        <w:t xml:space="preserve">hot model</w:t>
      </w:r>
      <w:r>
        <w:t xml:space="preserve">’</w:t>
      </w:r>
      <w:r>
        <w:t xml:space="preserve"> </w:t>
      </w:r>
      <w:r>
        <w:t xml:space="preserve">problem. Nature 605, 26–29.</w:t>
      </w:r>
      <w:r>
        <w:t xml:space="preserve"> </w:t>
      </w:r>
      <w:hyperlink r:id="rId83">
        <w:r>
          <w:rPr>
            <w:rStyle w:val="Hyperlink"/>
          </w:rPr>
          <w:t xml:space="preserve">https://doi.org/10.1038/d41586-022-01192-2</w:t>
        </w:r>
      </w:hyperlink>
    </w:p>
    <w:bookmarkEnd w:id="84"/>
    <w:bookmarkStart w:id="86" w:name="ref-kuhn2020TidymodelsCollectionPackages"/>
    <w:p>
      <w:pPr>
        <w:pStyle w:val="Bibliography"/>
      </w:pPr>
      <w:r>
        <w:t xml:space="preserve">Kuhn, M., Wickham, H., 2020.</w:t>
      </w:r>
      <w:r>
        <w:t xml:space="preserve"> </w:t>
      </w:r>
      <w:hyperlink r:id="rId85">
        <w:r>
          <w:rPr>
            <w:rStyle w:val="Hyperlink"/>
          </w:rPr>
          <w:t xml:space="preserve">Tidymodels: A collection of packages for modeling and machine learning using tidyverse principles</w:t>
        </w:r>
      </w:hyperlink>
      <w:r>
        <w:t xml:space="preserve">.</w:t>
      </w:r>
    </w:p>
    <w:bookmarkEnd w:id="86"/>
    <w:bookmarkStart w:id="87"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87"/>
    <w:bookmarkStart w:id="89" w:name="ref-mccune2007ImprovedEstimatesIncident"/>
    <w:p>
      <w:pPr>
        <w:pStyle w:val="Bibliography"/>
      </w:pPr>
      <w:r>
        <w:t xml:space="preserve">McCune, B., 2007.</w:t>
      </w:r>
      <w:r>
        <w:t xml:space="preserve"> </w:t>
      </w:r>
      <w:hyperlink r:id="rId88">
        <w:r>
          <w:rPr>
            <w:rStyle w:val="Hyperlink"/>
          </w:rPr>
          <w:t xml:space="preserve">Improved estimates of incident radiation and heat load using non-parametric regression against topographic variables</w:t>
        </w:r>
      </w:hyperlink>
      <w:r>
        <w:t xml:space="preserve">. Journal of Vegetation Science 18, 751–754.</w:t>
      </w:r>
    </w:p>
    <w:bookmarkEnd w:id="89"/>
    <w:bookmarkStart w:id="91" w:name="ref-mccune2002EquationsPotentialAnnual"/>
    <w:p>
      <w:pPr>
        <w:pStyle w:val="Bibliography"/>
      </w:pPr>
      <w:r>
        <w:t xml:space="preserve">McCune, B., Keon, D., 2002.</w:t>
      </w:r>
      <w:r>
        <w:t xml:space="preserve"> </w:t>
      </w:r>
      <w:hyperlink r:id="rId90">
        <w:r>
          <w:rPr>
            <w:rStyle w:val="Hyperlink"/>
          </w:rPr>
          <w:t xml:space="preserve">Equations for potential annual direct incident radiation and heat load</w:t>
        </w:r>
      </w:hyperlink>
      <w:r>
        <w:t xml:space="preserve">. Journal of Vegetation Science 13, 603–606.</w:t>
      </w:r>
    </w:p>
    <w:bookmarkEnd w:id="91"/>
    <w:bookmarkStart w:id="93"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92">
        <w:r>
          <w:rPr>
            <w:rStyle w:val="Hyperlink"/>
          </w:rPr>
          <w:t xml:space="preserve">https://doi.org/10.1016/S0168-1923(98)00102-6</w:t>
        </w:r>
      </w:hyperlink>
    </w:p>
    <w:bookmarkEnd w:id="93"/>
    <w:bookmarkStart w:id="95" w:name="X9ce84d2edd409eea4a5bb93b0b43ed50266fe99"/>
    <w:p>
      <w:pPr>
        <w:pStyle w:val="Bibliography"/>
      </w:pPr>
      <w:r>
        <w:t xml:space="preserve">Pedersen, E.J., Miller, D.L., Simpson, G.L., Ross, N., 2018. Hierarchical generalized additive models: an introduction with mgcv.</w:t>
      </w:r>
      <w:r>
        <w:t xml:space="preserve"> </w:t>
      </w:r>
      <w:hyperlink r:id="rId94">
        <w:r>
          <w:rPr>
            <w:rStyle w:val="Hyperlink"/>
          </w:rPr>
          <w:t xml:space="preserve">https://doi.org/10.7287/peerj.preprints.27320v1</w:t>
        </w:r>
      </w:hyperlink>
    </w:p>
    <w:bookmarkEnd w:id="95"/>
    <w:bookmarkStart w:id="96" w:name="ref-peet1981ForestVegetationColorado"/>
    <w:p>
      <w:pPr>
        <w:pStyle w:val="Bibliography"/>
      </w:pPr>
      <w:r>
        <w:t xml:space="preserve">Peet, R.K., 1981. Forest vegetation of the colorado front range. Vegetatio 45, 375.</w:t>
      </w:r>
    </w:p>
    <w:bookmarkEnd w:id="96"/>
    <w:bookmarkStart w:id="98" w:name="ref-prismclimategroup2021"/>
    <w:p>
      <w:pPr>
        <w:pStyle w:val="Bibliography"/>
      </w:pPr>
      <w:r>
        <w:t xml:space="preserve">PRISM Climate Group, 2021.</w:t>
      </w:r>
      <w:r>
        <w:t xml:space="preserve"> </w:t>
      </w:r>
      <w:hyperlink r:id="rId97">
        <w:r>
          <w:rPr>
            <w:rStyle w:val="Hyperlink"/>
          </w:rPr>
          <w:t xml:space="preserve">Monthly 30-year climate normals (1981-2010)</w:t>
        </w:r>
      </w:hyperlink>
      <w:r>
        <w:t xml:space="preserve">.</w:t>
      </w:r>
    </w:p>
    <w:bookmarkEnd w:id="98"/>
    <w:bookmarkStart w:id="100" w:name="X4878592beea4a6dfca9c91383c925df652b2c7a"/>
    <w:p>
      <w:pPr>
        <w:pStyle w:val="Bibliography"/>
      </w:pPr>
      <w:r>
        <w:t xml:space="preserve">R Core Team, 2022.</w:t>
      </w:r>
      <w:r>
        <w:t xml:space="preserve"> </w:t>
      </w:r>
      <w:hyperlink r:id="rId99">
        <w:r>
          <w:rPr>
            <w:rStyle w:val="Hyperlink"/>
          </w:rPr>
          <w:t xml:space="preserve">R: A language and environment for statistical computing</w:t>
        </w:r>
      </w:hyperlink>
      <w:r>
        <w:t xml:space="preserve">. R Foundation for Statistical Computing, Vienna, Austria.</w:t>
      </w:r>
    </w:p>
    <w:bookmarkEnd w:id="100"/>
    <w:bookmarkStart w:id="101"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101"/>
    <w:bookmarkStart w:id="103" w:name="ref-rehfeldt2009AspenClimateSuddena"/>
    <w:p>
      <w:pPr>
        <w:pStyle w:val="Bibliography"/>
      </w:pPr>
      <w:r>
        <w:t xml:space="preserve">Rehfeldt, G.E., Ferguson, D.E., Crookston, N.L., 2009. Aspen, climate, and sudden decline in western USA. Forest Ecology and Management 258, 2353–2364.</w:t>
      </w:r>
      <w:r>
        <w:t xml:space="preserve"> </w:t>
      </w:r>
      <w:hyperlink r:id="rId102">
        <w:r>
          <w:rPr>
            <w:rStyle w:val="Hyperlink"/>
          </w:rPr>
          <w:t xml:space="preserve">https://doi.org/10.1016/j.foreco.2009.06.005</w:t>
        </w:r>
      </w:hyperlink>
    </w:p>
    <w:bookmarkEnd w:id="103"/>
    <w:bookmarkStart w:id="105"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04">
        <w:r>
          <w:rPr>
            <w:rStyle w:val="Hyperlink"/>
          </w:rPr>
          <w:t xml:space="preserve">https://doi.org/10.1016/j.gloenvcha.2016.05.009</w:t>
        </w:r>
      </w:hyperlink>
    </w:p>
    <w:bookmarkEnd w:id="105"/>
    <w:bookmarkStart w:id="107"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06">
        <w:r>
          <w:rPr>
            <w:rStyle w:val="Hyperlink"/>
          </w:rPr>
          <w:t xml:space="preserve">https://doi.org/10.1111/geb.13174</w:t>
        </w:r>
      </w:hyperlink>
    </w:p>
    <w:bookmarkEnd w:id="107"/>
    <w:bookmarkStart w:id="109"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08">
        <w:r>
          <w:rPr>
            <w:rStyle w:val="Hyperlink"/>
          </w:rPr>
          <w:t xml:space="preserve">https://doi.org/10.1111/j.0906-7590.2004.03673.x</w:t>
        </w:r>
      </w:hyperlink>
    </w:p>
    <w:bookmarkEnd w:id="109"/>
    <w:bookmarkStart w:id="111"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10">
        <w:r>
          <w:rPr>
            <w:rStyle w:val="Hyperlink"/>
          </w:rPr>
          <w:t xml:space="preserve">https://doi.org/10.2307/2261392</w:t>
        </w:r>
      </w:hyperlink>
    </w:p>
    <w:bookmarkEnd w:id="111"/>
    <w:bookmarkStart w:id="113"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12">
        <w:r>
          <w:rPr>
            <w:rStyle w:val="Hyperlink"/>
          </w:rPr>
          <w:t xml:space="preserve">https://doi.org/10.1890/1051-0761(2000)010[1178:CAHIOF]2.0.CO;2</w:t>
        </w:r>
      </w:hyperlink>
    </w:p>
    <w:bookmarkEnd w:id="113"/>
    <w:bookmarkStart w:id="115"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14">
        <w:r>
          <w:rPr>
            <w:rStyle w:val="Hyperlink"/>
          </w:rPr>
          <w:t xml:space="preserve">https://doi.org/10.1371/journal.pone.0156720</w:t>
        </w:r>
      </w:hyperlink>
    </w:p>
    <w:bookmarkEnd w:id="115"/>
    <w:bookmarkStart w:id="116" w:name="ref-weiss2001"/>
    <w:p>
      <w:pPr>
        <w:pStyle w:val="Bibliography"/>
      </w:pPr>
      <w:r>
        <w:t xml:space="preserve">Weiss, A., 2001. Topographic position and landforms analysis.</w:t>
      </w:r>
    </w:p>
    <w:bookmarkEnd w:id="116"/>
    <w:bookmarkStart w:id="117" w:name="ref-mgcv"/>
    <w:p>
      <w:pPr>
        <w:pStyle w:val="Bibliography"/>
      </w:pPr>
      <w:r>
        <w:t xml:space="preserve">Wood, S.N., 2011. Fast stable restricted maximum likelihood and marginal likelihood estimation of semiparametric generalized linear models 73, 3–36.</w:t>
      </w:r>
    </w:p>
    <w:bookmarkEnd w:id="117"/>
    <w:bookmarkStart w:id="119" w:name="ref-wright2017RangerFastImplementation"/>
    <w:p>
      <w:pPr>
        <w:pStyle w:val="Bibliography"/>
      </w:pPr>
      <w:r>
        <w:t xml:space="preserve">Wright, M.N., Ziegler, A., 2017. ranger: A Fast Implementation of Random Forests for High Dimensional Data in C++ and R. Journal of Statistical Software 77.</w:t>
      </w:r>
      <w:r>
        <w:t xml:space="preserve"> </w:t>
      </w:r>
      <w:hyperlink r:id="rId118">
        <w:r>
          <w:rPr>
            <w:rStyle w:val="Hyperlink"/>
          </w:rPr>
          <w:t xml:space="preserve">https://doi.org/10.18637/jss.v077.i01</w:t>
        </w:r>
      </w:hyperlink>
    </w:p>
    <w:bookmarkEnd w:id="119"/>
    <w:bookmarkStart w:id="121"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20">
        <w:r>
          <w:rPr>
            <w:rStyle w:val="Hyperlink"/>
          </w:rPr>
          <w:t xml:space="preserve">https://doi.org/10.1111/ecog.04960</w:t>
        </w:r>
      </w:hyperlink>
    </w:p>
    <w:bookmarkEnd w:id="121"/>
    <w:bookmarkEnd w:id="122"/>
    <w:p>
      <w:r>
        <w:br w:type="page"/>
      </w:r>
    </w:p>
    <w:bookmarkEnd w:id="123"/>
    <w:bookmarkStart w:id="125" w:name="appendix-a-odmap"/>
    <w:p>
      <w:pPr>
        <w:pStyle w:val="Heading1"/>
      </w:pPr>
      <w:r>
        <w:t xml:space="preserve">Appendix A: ODMAP</w:t>
      </w:r>
    </w:p>
    <w:bookmarkStart w:id="124" w:name="overview"/>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gradient boosted trees (GBTs),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(ROC)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(XXXX)</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(XXXX)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24"/>
    <w:bookmarkEnd w:id="125"/>
    <w:bookmarkStart w:id="132" w:name="appendix-b-model-performance"/>
    <w:p>
      <w:pPr>
        <w:pStyle w:val="Heading1"/>
      </w:pPr>
      <w:r>
        <w:t xml:space="preserve">Appendix B: Model Performance</w:t>
      </w:r>
    </w:p>
    <w:p>
      <w:pPr>
        <w:pStyle w:val="TableCaption"/>
      </w:pPr>
      <w:r>
        <w:t xml:space="preserve">Table 4:</w:t>
      </w:r>
      <w:r>
        <w:t xml:space="preserve"> </w:t>
      </w:r>
      <w:r>
        <w:t xml:space="preserve">Model performance statistics from spatial cross-validation. Values show the mean ± one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 ± 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 ± 0.06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0.04</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0.61 ± 0.1</w:t>
            </w:r>
          </w:p>
        </w:tc>
      </w:tr>
      <w:tr>
        <w:trPr>
          <w:trHeight w:val="36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GBT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 ± 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 ± 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 ± 0.1</w:t>
            </w:r>
          </w:p>
        </w:tc>
      </w:tr>
    </w:tbl>
    <w:p>
      <w:pPr>
        <w:pStyle w:val="CaptionedFigure"/>
      </w:pPr>
      <w:r>
        <w:drawing>
          <wp:inline>
            <wp:extent cx="6400800" cy="2133600"/>
            <wp:effectExtent b="0" l="0" r="0" t="0"/>
            <wp:docPr descr="Figure 9: The relationship between geographic position and model performance." title="" id="127" name="Picture"/>
            <a:graphic>
              <a:graphicData uri="http://schemas.openxmlformats.org/drawingml/2006/picture">
                <pic:pic>
                  <pic:nvPicPr>
                    <pic:cNvPr descr="../Results/Figures/ensemeble-error-pattern.jpg" id="128" name="Picture"/>
                    <pic:cNvPicPr>
                      <a:picLocks noChangeArrowheads="1" noChangeAspect="1"/>
                    </pic:cNvPicPr>
                  </pic:nvPicPr>
                  <pic:blipFill>
                    <a:blip r:embed="rId126"/>
                    <a:stretch>
                      <a:fillRect/>
                    </a:stretch>
                  </pic:blipFill>
                  <pic:spPr bwMode="auto">
                    <a:xfrm>
                      <a:off x="0" y="0"/>
                      <a:ext cx="6400800" cy="2133600"/>
                    </a:xfrm>
                    <a:prstGeom prst="rect">
                      <a:avLst/>
                    </a:prstGeom>
                    <a:noFill/>
                    <a:ln w="9525">
                      <a:noFill/>
                      <a:headEnd/>
                      <a:tailEnd/>
                    </a:ln>
                  </pic:spPr>
                </pic:pic>
              </a:graphicData>
            </a:graphic>
          </wp:inline>
        </w:drawing>
      </w:r>
    </w:p>
    <w:p>
      <w:pPr>
        <w:pStyle w:val="ImageCaption"/>
      </w:pPr>
      <w:r>
        <w:t xml:space="preserve">Figure 9: The relationship between geographic position and model performance.</w:t>
      </w:r>
    </w:p>
    <w:p>
      <w:pPr>
        <w:pStyle w:val="CaptionedFigure"/>
      </w:pPr>
      <w:r>
        <w:drawing>
          <wp:inline>
            <wp:extent cx="6400800" cy="2971800"/>
            <wp:effectExtent b="0" l="0" r="0" t="0"/>
            <wp:docPr descr="Figure 10: The relationship between geographic position and model performance." title="" id="130" name="Picture"/>
            <a:graphic>
              <a:graphicData uri="http://schemas.openxmlformats.org/drawingml/2006/picture">
                <pic:pic>
                  <pic:nvPicPr>
                    <pic:cNvPr descr="../Results/Figures/FigMaps.jpg" id="131" name="Picture"/>
                    <pic:cNvPicPr>
                      <a:picLocks noChangeArrowheads="1" noChangeAspect="1"/>
                    </pic:cNvPicPr>
                  </pic:nvPicPr>
                  <pic:blipFill>
                    <a:blip r:embed="rId129"/>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10: The relationship between geographic position and model performance.</w:t>
      </w:r>
    </w:p>
    <w:p>
      <w:r>
        <w:br w:type="page"/>
      </w:r>
    </w:p>
    <w:bookmarkEnd w:id="132"/>
    <w:bookmarkStart w:id="142" w:name="appendix-c"/>
    <w:p>
      <w:pPr>
        <w:pStyle w:val="Heading1"/>
      </w:pPr>
      <w:r>
        <w:t xml:space="preserve">Appendix C</w:t>
      </w:r>
    </w:p>
    <w:p>
      <w:pPr>
        <w:pStyle w:val="TableCaption"/>
      </w:pPr>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0.47883778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0.46377305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57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0.46267798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0.44972308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0.40029233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0.36317860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0.34758509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0.34581813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0.34303178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0.31840937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0.31376071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0.31238050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0.29730448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0.27903248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0.27739411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0.23905474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0.23380178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0.23028077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0.22964389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0.22762307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0.21988789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0.21929066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0.21486364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0.20953570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0.20802864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0.20443081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0.20298256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0.20272479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0.19909133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0.19117756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0.18253739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0.16647272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0.16054049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05"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0.12135598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0.09043655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11: Spearman’s correlation coefficients between pairs of climate predictor variables" title="" id="134" name="Picture"/>
            <a:graphic>
              <a:graphicData uri="http://schemas.openxmlformats.org/drawingml/2006/picture">
                <pic:pic>
                  <pic:nvPicPr>
                    <pic:cNvPr descr="../Results/Figures/CorrelationMatrix.jpg" id="135" name="Picture"/>
                    <pic:cNvPicPr>
                      <a:picLocks noChangeArrowheads="1" noChangeAspect="1"/>
                    </pic:cNvPicPr>
                  </pic:nvPicPr>
                  <pic:blipFill>
                    <a:blip r:embed="rId133"/>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11: Spearman’s correlation coefficients between pairs of climate predictor variables</w:t>
      </w:r>
    </w:p>
    <w:p>
      <w:pPr>
        <w:pStyle w:val="CaptionedFigure"/>
      </w:pPr>
      <w:r>
        <w:drawing>
          <wp:inline>
            <wp:extent cx="3239999" cy="4319999"/>
            <wp:effectExtent b="0" l="0" r="0" t="0"/>
            <wp:docPr descr="Figure 12: Contribution of climate predictor variables to univariate random forests models" title="" id="137" name="Picture"/>
            <a:graphic>
              <a:graphicData uri="http://schemas.openxmlformats.org/drawingml/2006/picture">
                <pic:pic>
                  <pic:nvPicPr>
                    <pic:cNvPr descr="../Results/Figures/climatevarselection-bar.jpg" id="138" name="Picture"/>
                    <pic:cNvPicPr>
                      <a:picLocks noChangeArrowheads="1" noChangeAspect="1"/>
                    </pic:cNvPicPr>
                  </pic:nvPicPr>
                  <pic:blipFill>
                    <a:blip r:embed="rId136"/>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12: Contribution of climate predictor variables to univariate random forests models</w:t>
      </w:r>
    </w:p>
    <w:p>
      <w:pPr>
        <w:pStyle w:val="CaptionedFigure"/>
      </w:pPr>
      <w:r>
        <w:drawing>
          <wp:inline>
            <wp:extent cx="3239999" cy="2159999"/>
            <wp:effectExtent b="0" l="0" r="0" t="0"/>
            <wp:docPr descr="Figure 13: Paired violin plots illustrating the" title="" id="140" name="Picture"/>
            <a:graphic>
              <a:graphicData uri="http://schemas.openxmlformats.org/drawingml/2006/picture">
                <pic:pic>
                  <pic:nvPicPr>
                    <pic:cNvPr descr="../Results/Figures/climate-violin.jpg" id="141" name="Picture"/>
                    <pic:cNvPicPr>
                      <a:picLocks noChangeArrowheads="1" noChangeAspect="1"/>
                    </pic:cNvPicPr>
                  </pic:nvPicPr>
                  <pic:blipFill>
                    <a:blip r:embed="rId139"/>
                    <a:stretch>
                      <a:fillRect/>
                    </a:stretch>
                  </pic:blipFill>
                  <pic:spPr bwMode="auto">
                    <a:xfrm>
                      <a:off x="0" y="0"/>
                      <a:ext cx="3239999" cy="2159999"/>
                    </a:xfrm>
                    <a:prstGeom prst="rect">
                      <a:avLst/>
                    </a:prstGeom>
                    <a:noFill/>
                    <a:ln w="9525">
                      <a:noFill/>
                      <a:headEnd/>
                      <a:tailEnd/>
                    </a:ln>
                  </pic:spPr>
                </pic:pic>
              </a:graphicData>
            </a:graphic>
          </wp:inline>
        </w:drawing>
      </w:r>
    </w:p>
    <w:p>
      <w:pPr>
        <w:pStyle w:val="ImageCaption"/>
      </w:pPr>
      <w:r>
        <w:t xml:space="preserve">Figure 13: Paired violin plots illustrating the</w:t>
      </w:r>
    </w:p>
    <w:bookmarkEnd w:id="142"/>
    <w:bookmarkStart w:id="143" w:name="appendix-d"/>
    <w:p>
      <w:pPr>
        <w:pStyle w:val="Heading1"/>
      </w:pPr>
      <w:r>
        <w:t xml:space="preserve">Appendix D</w:t>
      </w:r>
    </w:p>
    <w:bookmarkEnd w:id="143"/>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3" Target="media/rId133.jpg" /><Relationship Type="http://schemas.openxmlformats.org/officeDocument/2006/relationships/image" Id="rId40" Target="media/rId40.jpg" /><Relationship Type="http://schemas.openxmlformats.org/officeDocument/2006/relationships/image" Id="rId52" Target="media/rId52.jpg" /><Relationship Type="http://schemas.openxmlformats.org/officeDocument/2006/relationships/image" Id="rId49" Target="media/rId49.jpg" /><Relationship Type="http://schemas.openxmlformats.org/officeDocument/2006/relationships/image" Id="rId129" Target="media/rId129.jpg" /><Relationship Type="http://schemas.openxmlformats.org/officeDocument/2006/relationships/image" Id="rId24" Target="media/rId24.jpg" /><Relationship Type="http://schemas.openxmlformats.org/officeDocument/2006/relationships/image" Id="rId43" Target="media/rId43.jpg" /><Relationship Type="http://schemas.openxmlformats.org/officeDocument/2006/relationships/image" Id="rId139" Target="media/rId139.jpg" /><Relationship Type="http://schemas.openxmlformats.org/officeDocument/2006/relationships/image" Id="rId136" Target="media/rId136.jpg" /><Relationship Type="http://schemas.openxmlformats.org/officeDocument/2006/relationships/image" Id="rId126" Target="media/rId126.jpg" /><Relationship Type="http://schemas.openxmlformats.org/officeDocument/2006/relationships/image" Id="rId55" Target="media/rId55.jpg" /><Relationship Type="http://schemas.openxmlformats.org/officeDocument/2006/relationships/image" Id="rId46" Target="media/rId46.jpg" /><Relationship Type="http://schemas.openxmlformats.org/officeDocument/2006/relationships/image" Id="rId37" Target="media/rId37.jpg" /><Relationship Type="http://schemas.openxmlformats.org/officeDocument/2006/relationships/hyperlink" Id="rId73" Target="http://pubs.er.usgs.gov/publication/pp1794A8" TargetMode="External" /><Relationship Type="http://schemas.openxmlformats.org/officeDocument/2006/relationships/hyperlink" Id="rId99" Target="http://www.R-project.org" TargetMode="External" /><Relationship Type="http://schemas.openxmlformats.org/officeDocument/2006/relationships/hyperlink" Id="rId63" Target="https://Available at adaptwest.databasin.org." TargetMode="External" /><Relationship Type="http://schemas.openxmlformats.org/officeDocument/2006/relationships/hyperlink" Id="rId92" Target="https://doi.org/10.1016/S0168-1923(98)00102-6" TargetMode="External" /><Relationship Type="http://schemas.openxmlformats.org/officeDocument/2006/relationships/hyperlink" Id="rId102" Target="https://doi.org/10.1016/j.foreco.2009.06.005" TargetMode="External" /><Relationship Type="http://schemas.openxmlformats.org/officeDocument/2006/relationships/hyperlink" Id="rId104" Target="https://doi.org/10.1016/j.gloenvcha.2016.05.009" TargetMode="External" /><Relationship Type="http://schemas.openxmlformats.org/officeDocument/2006/relationships/hyperlink" Id="rId68" Target="https://doi.org/10.1029/2018WR022797" TargetMode="External" /><Relationship Type="http://schemas.openxmlformats.org/officeDocument/2006/relationships/hyperlink" Id="rId83" Target="https://doi.org/10.1038/d41586-022-01192-2" TargetMode="External" /><Relationship Type="http://schemas.openxmlformats.org/officeDocument/2006/relationships/hyperlink" Id="rId120" Target="https://doi.org/10.1111/ecog.04960" TargetMode="External" /><Relationship Type="http://schemas.openxmlformats.org/officeDocument/2006/relationships/hyperlink" Id="rId79" Target="https://doi.org/10.1111/gcb.12051" TargetMode="External" /><Relationship Type="http://schemas.openxmlformats.org/officeDocument/2006/relationships/hyperlink" Id="rId81" Target="https://doi.org/10.1111/geb.12381" TargetMode="External" /><Relationship Type="http://schemas.openxmlformats.org/officeDocument/2006/relationships/hyperlink" Id="rId106" Target="https://doi.org/10.1111/geb.13174" TargetMode="External" /><Relationship Type="http://schemas.openxmlformats.org/officeDocument/2006/relationships/hyperlink" Id="rId108" Target="https://doi.org/10.1111/j.0906-7590.2004.03673.x" TargetMode="External" /><Relationship Type="http://schemas.openxmlformats.org/officeDocument/2006/relationships/hyperlink" Id="rId65" Target="https://doi.org/10.1126/sciadv.aat4858" TargetMode="External" /><Relationship Type="http://schemas.openxmlformats.org/officeDocument/2006/relationships/hyperlink" Id="rId70" Target="https://doi.org/10.1145/2939672.2939785" TargetMode="External" /><Relationship Type="http://schemas.openxmlformats.org/officeDocument/2006/relationships/hyperlink" Id="rId77" Target="https://doi.org/10.1186/2192-1709-1-2" TargetMode="External" /><Relationship Type="http://schemas.openxmlformats.org/officeDocument/2006/relationships/hyperlink" Id="rId114" Target="https://doi.org/10.1371/journal.pone.0156720" TargetMode="External" /><Relationship Type="http://schemas.openxmlformats.org/officeDocument/2006/relationships/hyperlink" Id="rId118" Target="https://doi.org/10.18637/jss.v077.i01" TargetMode="External" /><Relationship Type="http://schemas.openxmlformats.org/officeDocument/2006/relationships/hyperlink" Id="rId112" Target="https://doi.org/10.1890/1051-0761(2000)010[1178:CAHIOF]2.0.CO;2" TargetMode="External" /><Relationship Type="http://schemas.openxmlformats.org/officeDocument/2006/relationships/hyperlink" Id="rId110" Target="https://doi.org/10.2307/2261392" TargetMode="External" /><Relationship Type="http://schemas.openxmlformats.org/officeDocument/2006/relationships/hyperlink" Id="rId94" Target="https://doi.org/10.7287/peerj.preprints.27320v1" TargetMode="External" /><Relationship Type="http://schemas.openxmlformats.org/officeDocument/2006/relationships/hyperlink" Id="rId75" Target="https://github.com/jeffreyevans/spatialEco" TargetMode="External" /><Relationship Type="http://schemas.openxmlformats.org/officeDocument/2006/relationships/hyperlink" Id="rId97" Target="https://prism.oregonstate.edu/normals/" TargetMode="External" /><Relationship Type="http://schemas.openxmlformats.org/officeDocument/2006/relationships/hyperlink" Id="rId90" Target="https://www.jstor.org/stable/3236745" TargetMode="External" /><Relationship Type="http://schemas.openxmlformats.org/officeDocument/2006/relationships/hyperlink" Id="rId88" Target="https://www.jstor.org/stable/4499284" TargetMode="External" /><Relationship Type="http://schemas.openxmlformats.org/officeDocument/2006/relationships/hyperlink" Id="rId8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73" Target="http://pubs.er.usgs.gov/publication/pp1794A8" TargetMode="External" /><Relationship Type="http://schemas.openxmlformats.org/officeDocument/2006/relationships/hyperlink" Id="rId99" Target="http://www.R-project.org" TargetMode="External" /><Relationship Type="http://schemas.openxmlformats.org/officeDocument/2006/relationships/hyperlink" Id="rId63" Target="https://Available at adaptwest.databasin.org." TargetMode="External" /><Relationship Type="http://schemas.openxmlformats.org/officeDocument/2006/relationships/hyperlink" Id="rId92" Target="https://doi.org/10.1016/S0168-1923(98)00102-6" TargetMode="External" /><Relationship Type="http://schemas.openxmlformats.org/officeDocument/2006/relationships/hyperlink" Id="rId102" Target="https://doi.org/10.1016/j.foreco.2009.06.005" TargetMode="External" /><Relationship Type="http://schemas.openxmlformats.org/officeDocument/2006/relationships/hyperlink" Id="rId104" Target="https://doi.org/10.1016/j.gloenvcha.2016.05.009" TargetMode="External" /><Relationship Type="http://schemas.openxmlformats.org/officeDocument/2006/relationships/hyperlink" Id="rId68" Target="https://doi.org/10.1029/2018WR022797" TargetMode="External" /><Relationship Type="http://schemas.openxmlformats.org/officeDocument/2006/relationships/hyperlink" Id="rId83" Target="https://doi.org/10.1038/d41586-022-01192-2" TargetMode="External" /><Relationship Type="http://schemas.openxmlformats.org/officeDocument/2006/relationships/hyperlink" Id="rId120" Target="https://doi.org/10.1111/ecog.04960" TargetMode="External" /><Relationship Type="http://schemas.openxmlformats.org/officeDocument/2006/relationships/hyperlink" Id="rId79" Target="https://doi.org/10.1111/gcb.12051" TargetMode="External" /><Relationship Type="http://schemas.openxmlformats.org/officeDocument/2006/relationships/hyperlink" Id="rId81" Target="https://doi.org/10.1111/geb.12381" TargetMode="External" /><Relationship Type="http://schemas.openxmlformats.org/officeDocument/2006/relationships/hyperlink" Id="rId106" Target="https://doi.org/10.1111/geb.13174" TargetMode="External" /><Relationship Type="http://schemas.openxmlformats.org/officeDocument/2006/relationships/hyperlink" Id="rId108" Target="https://doi.org/10.1111/j.0906-7590.2004.03673.x" TargetMode="External" /><Relationship Type="http://schemas.openxmlformats.org/officeDocument/2006/relationships/hyperlink" Id="rId65" Target="https://doi.org/10.1126/sciadv.aat4858" TargetMode="External" /><Relationship Type="http://schemas.openxmlformats.org/officeDocument/2006/relationships/hyperlink" Id="rId70" Target="https://doi.org/10.1145/2939672.2939785" TargetMode="External" /><Relationship Type="http://schemas.openxmlformats.org/officeDocument/2006/relationships/hyperlink" Id="rId77" Target="https://doi.org/10.1186/2192-1709-1-2" TargetMode="External" /><Relationship Type="http://schemas.openxmlformats.org/officeDocument/2006/relationships/hyperlink" Id="rId114" Target="https://doi.org/10.1371/journal.pone.0156720" TargetMode="External" /><Relationship Type="http://schemas.openxmlformats.org/officeDocument/2006/relationships/hyperlink" Id="rId118" Target="https://doi.org/10.18637/jss.v077.i01" TargetMode="External" /><Relationship Type="http://schemas.openxmlformats.org/officeDocument/2006/relationships/hyperlink" Id="rId112" Target="https://doi.org/10.1890/1051-0761(2000)010[1178:CAHIOF]2.0.CO;2" TargetMode="External" /><Relationship Type="http://schemas.openxmlformats.org/officeDocument/2006/relationships/hyperlink" Id="rId110" Target="https://doi.org/10.2307/2261392" TargetMode="External" /><Relationship Type="http://schemas.openxmlformats.org/officeDocument/2006/relationships/hyperlink" Id="rId94" Target="https://doi.org/10.7287/peerj.preprints.27320v1" TargetMode="External" /><Relationship Type="http://schemas.openxmlformats.org/officeDocument/2006/relationships/hyperlink" Id="rId75" Target="https://github.com/jeffreyevans/spatialEco" TargetMode="External" /><Relationship Type="http://schemas.openxmlformats.org/officeDocument/2006/relationships/hyperlink" Id="rId97" Target="https://prism.oregonstate.edu/normals/" TargetMode="External" /><Relationship Type="http://schemas.openxmlformats.org/officeDocument/2006/relationships/hyperlink" Id="rId90" Target="https://www.jstor.org/stable/3236745" TargetMode="External" /><Relationship Type="http://schemas.openxmlformats.org/officeDocument/2006/relationships/hyperlink" Id="rId88" Target="https://www.jstor.org/stable/4499284" TargetMode="External" /><Relationship Type="http://schemas.openxmlformats.org/officeDocument/2006/relationships/hyperlink" Id="rId8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 Josh Carrell, Maxwell Cook</dc:creator>
  <cp:keywords/>
  <dcterms:created xsi:type="dcterms:W3CDTF">2023-09-20T20:52:14Z</dcterms:created>
  <dcterms:modified xsi:type="dcterms:W3CDTF">2023-09-20T20:52:14Z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